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ind w:firstLine="709"/>
        <w:jc w:val="center"/>
        <w:rPr>
          <w:rFonts w:eastAsia="Times New Roman" w:cs="Times New Roman"/>
          <w:b/>
          <w:sz w:val="40"/>
          <w:szCs w:val="24"/>
          <w:lang w:val="sr-Cyrl-RS" w:eastAsia="sr-Latn-RS"/>
        </w:rPr>
      </w:pPr>
      <w:r>
        <w:rPr>
          <w:rFonts w:eastAsia="Times New Roman" w:cs="Times New Roman"/>
          <w:b/>
          <w:sz w:val="40"/>
          <w:szCs w:val="24"/>
          <w:lang w:val="sr-Cyrl-RS" w:eastAsia="sr-Latn-RS"/>
        </w:rPr>
        <w:t xml:space="preserve">ВАЖНЕ ИНФОРМАЦИЈЕ </w:t>
      </w:r>
    </w:p>
    <w:p>
      <w:pPr>
        <w:shd w:val="clear" w:color="auto" w:fill="FFFFFF"/>
        <w:ind w:firstLine="709"/>
        <w:jc w:val="center"/>
        <w:rPr>
          <w:rFonts w:eastAsia="Times New Roman" w:cs="Times New Roman"/>
          <w:b/>
          <w:sz w:val="40"/>
          <w:szCs w:val="24"/>
          <w:lang w:val="sr-Cyrl-RS" w:eastAsia="sr-Latn-RS"/>
        </w:rPr>
      </w:pPr>
      <w:r>
        <w:rPr>
          <w:rFonts w:eastAsia="Times New Roman" w:cs="Times New Roman"/>
          <w:b/>
          <w:sz w:val="40"/>
          <w:szCs w:val="24"/>
          <w:lang w:val="sr-Cyrl-RS" w:eastAsia="sr-Latn-RS"/>
        </w:rPr>
        <w:t>О ДУАЛНОМ ОБРАЗОВАЊУ</w:t>
      </w:r>
    </w:p>
    <w:p>
      <w:pPr>
        <w:shd w:val="clear" w:color="auto" w:fill="FFFFFF"/>
        <w:ind w:firstLine="709"/>
        <w:rPr>
          <w:rFonts w:eastAsia="Times New Roman" w:cs="Times New Roman"/>
          <w:szCs w:val="24"/>
          <w:lang w:val="sr-Cyrl-RS" w:eastAsia="sr-Latn-RS"/>
        </w:rPr>
      </w:pPr>
    </w:p>
    <w:p>
      <w:pPr>
        <w:shd w:val="clear" w:color="auto" w:fill="FFFFFF"/>
        <w:ind w:firstLine="709"/>
        <w:rPr>
          <w:rFonts w:eastAsia="Times New Roman" w:cs="Times New Roman"/>
          <w:szCs w:val="24"/>
          <w:lang w:val="sr-Cyrl-RS" w:eastAsia="sr-Latn-RS"/>
        </w:rPr>
      </w:pPr>
    </w:p>
    <w:p>
      <w:pPr>
        <w:shd w:val="clear" w:color="auto" w:fill="FFFFFF"/>
        <w:ind w:firstLine="709"/>
        <w:jc w:val="left"/>
        <w:rPr>
          <w:rFonts w:eastAsia="Comic Sans MS" w:cs="Times New Roman"/>
          <w:color w:val="C55A11" w:themeColor="accent2" w:themeShade="BF"/>
          <w:sz w:val="32"/>
          <w:szCs w:val="32"/>
          <w:shd w:val="clear" w:color="auto" w:fill="FFFFFF"/>
          <w:lang w:val="sr-Cyrl-RS" w:eastAsia="zh-CN" w:bidi="ar"/>
        </w:rPr>
      </w:pPr>
      <w:r>
        <w:rPr>
          <w:rFonts w:eastAsia="Comic Sans MS" w:cs="Times New Roman"/>
          <w:color w:val="C55A11" w:themeColor="accent2" w:themeShade="BF"/>
          <w:sz w:val="32"/>
          <w:szCs w:val="32"/>
          <w:shd w:val="clear" w:color="auto" w:fill="FFFFFF"/>
          <w:lang w:val="en-US" w:eastAsia="zh-CN" w:bidi="ar"/>
        </w:rPr>
        <w:t xml:space="preserve">Пољопривредна школа са домом ученика „Соња Маринковић“ Пожаревац </w:t>
      </w:r>
      <w:r>
        <w:rPr>
          <w:rFonts w:eastAsia="Comic Sans MS" w:cs="Times New Roman"/>
          <w:color w:val="C55A11" w:themeColor="accent2" w:themeShade="BF"/>
          <w:sz w:val="32"/>
          <w:szCs w:val="32"/>
          <w:shd w:val="clear" w:color="auto" w:fill="FFFFFF"/>
          <w:lang w:val="sr-Cyrl-RS" w:eastAsia="zh-CN" w:bidi="ar"/>
        </w:rPr>
        <w:t>нуди следеће смерове у виду дуалног образовања:</w:t>
      </w:r>
    </w:p>
    <w:p>
      <w:pPr>
        <w:pBdr>
          <w:top w:val="single" w:color="auto" w:sz="4" w:space="1"/>
          <w:left w:val="single" w:color="auto" w:sz="4" w:space="4"/>
          <w:bottom w:val="single" w:color="auto" w:sz="4" w:space="1"/>
          <w:right w:val="single" w:color="auto" w:sz="4" w:space="4"/>
        </w:pBdr>
        <w:shd w:val="clear" w:color="auto" w:fill="FFFFFF"/>
        <w:ind w:firstLine="709"/>
        <w:jc w:val="center"/>
        <w:rPr>
          <w:rFonts w:eastAsia="Times New Roman" w:cs="Times New Roman"/>
          <w:b/>
          <w:color w:val="C55A11" w:themeColor="accent2" w:themeShade="BF"/>
          <w:sz w:val="32"/>
          <w:szCs w:val="32"/>
          <w:lang w:val="sr-Cyrl-RS" w:eastAsia="sr-Latn-RS"/>
        </w:rPr>
      </w:pPr>
      <w:r>
        <w:rPr>
          <w:rFonts w:eastAsia="Times New Roman" w:cs="Times New Roman"/>
          <w:b/>
          <w:color w:val="C55A11" w:themeColor="accent2" w:themeShade="BF"/>
          <w:sz w:val="32"/>
          <w:szCs w:val="32"/>
          <w:lang w:val="sr-Cyrl-RS" w:eastAsia="sr-Latn-RS"/>
        </w:rPr>
        <w:t>Трогодишњи профил:</w:t>
      </w:r>
    </w:p>
    <w:p>
      <w:pPr>
        <w:shd w:val="clear" w:color="auto" w:fill="FFFFFF"/>
        <w:ind w:firstLine="709"/>
        <w:jc w:val="left"/>
        <w:rPr>
          <w:rFonts w:ascii="Comic Sans MS" w:hAnsi="Comic Sans MS" w:eastAsia="Comic Sans MS" w:cs="Comic Sans MS"/>
          <w:b/>
          <w:color w:val="C55A11" w:themeColor="accent2" w:themeShade="BF"/>
          <w:sz w:val="32"/>
          <w:szCs w:val="32"/>
          <w:u w:val="single"/>
          <w:shd w:val="clear" w:color="auto" w:fill="FFFFFF"/>
          <w:lang w:val="en-US" w:eastAsia="zh-CN" w:bidi="ar"/>
        </w:rPr>
      </w:pPr>
    </w:p>
    <w:p>
      <w:pPr>
        <w:shd w:val="clear" w:color="auto" w:fill="FFFFFF"/>
        <w:ind w:firstLine="709"/>
        <w:jc w:val="left"/>
        <w:rPr>
          <w:rFonts w:ascii="Comic Sans MS" w:hAnsi="Comic Sans MS" w:eastAsia="Comic Sans MS" w:cs="Comic Sans MS"/>
          <w:b/>
          <w:color w:val="C55A11" w:themeColor="accent2" w:themeShade="BF"/>
          <w:sz w:val="32"/>
          <w:szCs w:val="32"/>
          <w:u w:val="single"/>
          <w:shd w:val="clear" w:color="auto" w:fill="FFFFFF"/>
          <w:lang w:val="en-US" w:eastAsia="zh-CN" w:bidi="ar"/>
        </w:rPr>
      </w:pPr>
      <w:r>
        <w:rPr>
          <w:rFonts w:ascii="Comic Sans MS" w:hAnsi="Comic Sans MS" w:eastAsia="Comic Sans MS" w:cs="Comic Sans MS"/>
          <w:b/>
          <w:color w:val="C55A11" w:themeColor="accent2" w:themeShade="BF"/>
          <w:sz w:val="32"/>
          <w:szCs w:val="32"/>
          <w:u w:val="single"/>
          <w:shd w:val="clear" w:color="auto" w:fill="FFFFFF"/>
          <w:lang w:val="en-US" w:eastAsia="zh-CN" w:bidi="ar"/>
        </w:rPr>
        <w:t>ОПЕРАТЕР У</w:t>
      </w:r>
      <w:r>
        <w:rPr>
          <w:rFonts w:ascii="Comic Sans MS" w:hAnsi="Comic Sans MS" w:eastAsia="Comic Sans MS" w:cs="Comic Sans MS"/>
          <w:b/>
          <w:color w:val="C55A11" w:themeColor="accent2" w:themeShade="BF"/>
          <w:sz w:val="32"/>
          <w:szCs w:val="32"/>
          <w:u w:val="single"/>
          <w:shd w:val="clear" w:color="auto" w:fill="FFFFFF"/>
          <w:lang w:bidi="ar"/>
        </w:rPr>
        <w:t xml:space="preserve"> ПРЕХРАМБЕНОЈ ИНДУСТРИЈИ (ДУАЛН</w:t>
      </w:r>
      <w:r>
        <w:rPr>
          <w:rFonts w:ascii="Comic Sans MS" w:hAnsi="Comic Sans MS" w:eastAsia="Comic Sans MS" w:cs="Comic Sans MS"/>
          <w:b/>
          <w:color w:val="C55A11" w:themeColor="accent2" w:themeShade="BF"/>
          <w:sz w:val="32"/>
          <w:szCs w:val="32"/>
          <w:u w:val="single"/>
          <w:shd w:val="clear" w:color="auto" w:fill="FFFFFF"/>
          <w:lang w:val="en-US" w:eastAsia="zh-CN" w:bidi="ar"/>
        </w:rPr>
        <w:t>О ОБРАЗОВАЊЕ)</w:t>
      </w:r>
    </w:p>
    <w:p>
      <w:pPr>
        <w:shd w:val="clear" w:color="auto" w:fill="FFFFFF"/>
        <w:ind w:firstLine="709"/>
        <w:jc w:val="left"/>
        <w:rPr>
          <w:rFonts w:eastAsia="Times New Roman" w:cs="Times New Roman"/>
          <w:b/>
          <w:color w:val="C55A11" w:themeColor="accent2" w:themeShade="BF"/>
          <w:sz w:val="32"/>
          <w:szCs w:val="32"/>
          <w:u w:val="single"/>
          <w:lang w:val="sr-Cyrl-RS" w:eastAsia="sr-Latn-RS"/>
        </w:rPr>
      </w:pPr>
    </w:p>
    <w:p>
      <w:pPr>
        <w:pBdr>
          <w:top w:val="single" w:color="auto" w:sz="4" w:space="1"/>
          <w:left w:val="single" w:color="auto" w:sz="4" w:space="4"/>
          <w:bottom w:val="single" w:color="auto" w:sz="4" w:space="1"/>
          <w:right w:val="single" w:color="auto" w:sz="4" w:space="4"/>
        </w:pBdr>
        <w:shd w:val="clear" w:color="auto" w:fill="FFFFFF"/>
        <w:ind w:firstLine="709"/>
        <w:jc w:val="center"/>
        <w:rPr>
          <w:rFonts w:eastAsia="Times New Roman" w:cs="Times New Roman"/>
          <w:b/>
          <w:color w:val="C55A11" w:themeColor="accent2" w:themeShade="BF"/>
          <w:sz w:val="32"/>
          <w:szCs w:val="32"/>
          <w:lang w:val="sr-Cyrl-RS" w:eastAsia="sr-Latn-RS"/>
        </w:rPr>
      </w:pPr>
      <w:r>
        <w:rPr>
          <w:rFonts w:eastAsia="Times New Roman" w:cs="Times New Roman"/>
          <w:b/>
          <w:color w:val="C55A11" w:themeColor="accent2" w:themeShade="BF"/>
          <w:sz w:val="32"/>
          <w:szCs w:val="32"/>
          <w:lang w:val="sr-Cyrl-RS" w:eastAsia="sr-Latn-RS"/>
        </w:rPr>
        <w:t>Четворогоришњи профил:</w:t>
      </w:r>
    </w:p>
    <w:p>
      <w:pPr>
        <w:shd w:val="clear" w:color="auto" w:fill="FFFFFF"/>
        <w:ind w:firstLine="709"/>
        <w:jc w:val="left"/>
        <w:rPr>
          <w:rFonts w:ascii="Comic Sans MS" w:hAnsi="Comic Sans MS" w:eastAsia="Comic Sans MS" w:cs="Comic Sans MS"/>
          <w:b/>
          <w:color w:val="C55A11" w:themeColor="accent2" w:themeShade="BF"/>
          <w:sz w:val="32"/>
          <w:szCs w:val="32"/>
          <w:u w:val="single"/>
          <w:shd w:val="clear" w:color="auto" w:fill="FFFFFF"/>
          <w:lang w:val="en-US" w:eastAsia="zh-CN" w:bidi="ar"/>
        </w:rPr>
      </w:pPr>
    </w:p>
    <w:p>
      <w:pPr>
        <w:shd w:val="clear" w:color="auto" w:fill="FFFFFF"/>
        <w:ind w:firstLine="709"/>
        <w:jc w:val="left"/>
        <w:rPr>
          <w:rFonts w:ascii="Comic Sans MS" w:hAnsi="Comic Sans MS" w:eastAsia="Comic Sans MS" w:cs="Comic Sans MS"/>
          <w:b/>
          <w:color w:val="C55A11" w:themeColor="accent2" w:themeShade="BF"/>
          <w:sz w:val="32"/>
          <w:szCs w:val="32"/>
          <w:u w:val="single"/>
          <w:shd w:val="clear" w:color="auto" w:fill="FFFFFF"/>
          <w:lang w:val="en-US" w:eastAsia="zh-CN" w:bidi="ar"/>
        </w:rPr>
      </w:pPr>
      <w:r>
        <w:rPr>
          <w:rFonts w:ascii="Comic Sans MS" w:hAnsi="Comic Sans MS" w:eastAsia="Comic Sans MS" w:cs="Comic Sans MS"/>
          <w:b/>
          <w:color w:val="C55A11" w:themeColor="accent2" w:themeShade="BF"/>
          <w:sz w:val="32"/>
          <w:szCs w:val="32"/>
          <w:u w:val="single"/>
          <w:shd w:val="clear" w:color="auto" w:fill="FFFFFF"/>
          <w:lang w:val="en-US" w:eastAsia="zh-CN" w:bidi="ar"/>
        </w:rPr>
        <w:t>ПРЕХРАМБЕНИ ТЕХНИЧАР (ДУАЛНО ОБРАЗОВАЊЕ)</w:t>
      </w:r>
    </w:p>
    <w:p>
      <w:pPr>
        <w:shd w:val="clear" w:color="auto" w:fill="FFFFFF"/>
        <w:ind w:firstLine="709"/>
        <w:jc w:val="left"/>
        <w:rPr>
          <w:rFonts w:ascii="Comic Sans MS" w:hAnsi="Comic Sans MS" w:eastAsia="Comic Sans MS" w:cs="Comic Sans MS"/>
          <w:b/>
          <w:color w:val="C55A11" w:themeColor="accent2" w:themeShade="BF"/>
          <w:sz w:val="32"/>
          <w:szCs w:val="32"/>
          <w:u w:val="single"/>
          <w:shd w:val="clear" w:color="auto" w:fill="FFFFFF"/>
          <w:lang w:val="en-US" w:eastAsia="zh-CN" w:bidi="ar"/>
        </w:rPr>
      </w:pPr>
    </w:p>
    <w:p>
      <w:pPr>
        <w:shd w:val="clear" w:color="auto" w:fill="FFFFFF"/>
        <w:ind w:firstLine="709"/>
        <w:rPr>
          <w:rFonts w:ascii="Comic Sans MS" w:hAnsi="Comic Sans MS" w:eastAsia="Comic Sans MS" w:cs="Comic Sans MS"/>
          <w:color w:val="C55A11" w:themeColor="accent2" w:themeShade="BF"/>
          <w:sz w:val="36"/>
          <w:szCs w:val="36"/>
          <w:shd w:val="clear" w:color="auto" w:fill="FFFFFF"/>
          <w:lang w:val="sr-Cyrl-RS" w:eastAsia="zh-CN" w:bidi="ar"/>
        </w:rPr>
      </w:pPr>
      <w:r>
        <w:rPr>
          <w:rFonts w:ascii="Comic Sans MS" w:hAnsi="Comic Sans MS" w:eastAsia="Comic Sans MS" w:cs="Comic Sans MS"/>
          <w:color w:val="C55A11" w:themeColor="accent2" w:themeShade="BF"/>
          <w:sz w:val="36"/>
          <w:szCs w:val="36"/>
          <w:shd w:val="clear" w:color="auto" w:fill="FFFFFF"/>
          <w:lang w:val="sr-Cyrl-RS" w:eastAsia="zh-CN" w:bidi="ar"/>
        </w:rPr>
        <w:t>Ученике који желе да раде након завршетка средње школе и једног од горе</w:t>
      </w:r>
      <w:r>
        <w:rPr>
          <w:rFonts w:hint="default" w:ascii="Comic Sans MS" w:hAnsi="Comic Sans MS" w:eastAsia="Comic Sans MS" w:cs="Comic Sans MS"/>
          <w:color w:val="C55A11" w:themeColor="accent2" w:themeShade="BF"/>
          <w:sz w:val="36"/>
          <w:szCs w:val="36"/>
          <w:shd w:val="clear" w:color="auto" w:fill="FFFFFF"/>
          <w:lang w:val="sr-Cyrl-RS" w:eastAsia="zh-CN" w:bidi="ar"/>
        </w:rPr>
        <w:t xml:space="preserve"> </w:t>
      </w:r>
      <w:r>
        <w:rPr>
          <w:rFonts w:ascii="Comic Sans MS" w:hAnsi="Comic Sans MS" w:eastAsia="Comic Sans MS" w:cs="Comic Sans MS"/>
          <w:color w:val="C55A11" w:themeColor="accent2" w:themeShade="BF"/>
          <w:sz w:val="36"/>
          <w:szCs w:val="36"/>
          <w:shd w:val="clear" w:color="auto" w:fill="FFFFFF"/>
          <w:lang w:val="sr-Cyrl-RS" w:eastAsia="zh-CN" w:bidi="ar"/>
        </w:rPr>
        <w:t xml:space="preserve">наведених занимања </w:t>
      </w:r>
      <w:r>
        <w:rPr>
          <w:rFonts w:ascii="Comic Sans MS" w:hAnsi="Comic Sans MS" w:eastAsia="Comic Sans MS" w:cs="Comic Sans MS"/>
          <w:color w:val="C55A11" w:themeColor="accent2" w:themeShade="BF"/>
          <w:sz w:val="36"/>
          <w:szCs w:val="36"/>
          <w:shd w:val="clear" w:color="auto" w:fill="FFFFFF"/>
          <w:lang w:val="en-US" w:eastAsia="zh-CN" w:bidi="ar"/>
        </w:rPr>
        <w:t xml:space="preserve">одмах по дипломирању чека посао у концерну </w:t>
      </w:r>
      <w:r>
        <w:rPr>
          <w:rFonts w:hint="default" w:ascii="Comic Sans MS" w:hAnsi="Comic Sans MS" w:eastAsia="Comic Sans MS" w:cs="Comic Sans MS"/>
          <w:color w:val="C55A11" w:themeColor="accent2" w:themeShade="BF"/>
          <w:sz w:val="36"/>
          <w:szCs w:val="36"/>
          <w:shd w:val="clear" w:color="auto" w:fill="FFFFFF"/>
          <w:lang w:val="sr-Cyrl-RS" w:eastAsia="zh-CN" w:bidi="ar"/>
        </w:rPr>
        <w:t>“</w:t>
      </w:r>
      <w:r>
        <w:rPr>
          <w:rFonts w:ascii="Comic Sans MS" w:hAnsi="Comic Sans MS" w:eastAsia="Comic Sans MS" w:cs="Comic Sans MS"/>
          <w:color w:val="C55A11" w:themeColor="accent2" w:themeShade="BF"/>
          <w:sz w:val="36"/>
          <w:szCs w:val="36"/>
          <w:shd w:val="clear" w:color="auto" w:fill="FFFFFF"/>
          <w:lang w:val="en-US" w:eastAsia="zh-CN" w:bidi="ar"/>
        </w:rPr>
        <w:t>БАМБИ</w:t>
      </w:r>
      <w:r>
        <w:rPr>
          <w:rFonts w:hint="default" w:ascii="Comic Sans MS" w:hAnsi="Comic Sans MS" w:eastAsia="Comic Sans MS" w:cs="Comic Sans MS"/>
          <w:color w:val="C55A11" w:themeColor="accent2" w:themeShade="BF"/>
          <w:sz w:val="36"/>
          <w:szCs w:val="36"/>
          <w:shd w:val="clear" w:color="auto" w:fill="FFFFFF"/>
          <w:lang w:val="sr-Cyrl-RS" w:eastAsia="zh-CN" w:bidi="ar"/>
        </w:rPr>
        <w:t>”</w:t>
      </w:r>
      <w:r>
        <w:rPr>
          <w:rFonts w:ascii="Comic Sans MS" w:hAnsi="Comic Sans MS" w:eastAsia="Comic Sans MS" w:cs="Comic Sans MS"/>
          <w:color w:val="C55A11" w:themeColor="accent2" w:themeShade="BF"/>
          <w:sz w:val="36"/>
          <w:szCs w:val="36"/>
          <w:shd w:val="clear" w:color="auto" w:fill="FFFFFF"/>
          <w:lang w:val="en-US" w:eastAsia="zh-CN" w:bidi="ar"/>
        </w:rPr>
        <w:t>)</w:t>
      </w:r>
      <w:r>
        <w:rPr>
          <w:rFonts w:ascii="Comic Sans MS" w:hAnsi="Comic Sans MS" w:eastAsia="Comic Sans MS" w:cs="Comic Sans MS"/>
          <w:color w:val="C55A11" w:themeColor="accent2" w:themeShade="BF"/>
          <w:sz w:val="36"/>
          <w:szCs w:val="36"/>
          <w:shd w:val="clear" w:color="auto" w:fill="FFFFFF"/>
          <w:lang w:val="sr-Cyrl-RS" w:eastAsia="zh-CN" w:bidi="ar"/>
        </w:rPr>
        <w:t>.</w:t>
      </w:r>
    </w:p>
    <w:p>
      <w:pPr>
        <w:shd w:val="clear" w:color="auto" w:fill="FFFFFF"/>
        <w:ind w:firstLine="709"/>
        <w:rPr>
          <w:rFonts w:ascii="Comic Sans MS" w:hAnsi="Comic Sans MS" w:eastAsia="Comic Sans MS" w:cs="Comic Sans MS"/>
          <w:color w:val="C55A11" w:themeColor="accent2" w:themeShade="BF"/>
          <w:sz w:val="32"/>
          <w:szCs w:val="32"/>
          <w:shd w:val="clear" w:color="auto" w:fill="FFFFFF"/>
          <w:lang w:val="en-US" w:eastAsia="zh-CN" w:bidi="ar"/>
        </w:rPr>
      </w:pPr>
      <w:r>
        <w:rPr>
          <w:rFonts w:ascii="Comic Sans MS" w:hAnsi="Comic Sans MS" w:eastAsia="Comic Sans MS" w:cs="Comic Sans MS"/>
          <w:color w:val="C55A11" w:themeColor="accent2" w:themeShade="BF"/>
          <w:sz w:val="36"/>
          <w:szCs w:val="36"/>
          <w:shd w:val="clear" w:color="auto" w:fill="FFFFFF"/>
          <w:lang w:val="sr-Cyrl-RS" w:eastAsia="zh-CN" w:bidi="ar"/>
        </w:rPr>
        <w:t>Уколико ученик жели да упише једно од горе</w:t>
      </w:r>
      <w:r>
        <w:rPr>
          <w:rFonts w:hint="default" w:ascii="Comic Sans MS" w:hAnsi="Comic Sans MS" w:eastAsia="Comic Sans MS" w:cs="Comic Sans MS"/>
          <w:color w:val="C55A11" w:themeColor="accent2" w:themeShade="BF"/>
          <w:sz w:val="36"/>
          <w:szCs w:val="36"/>
          <w:shd w:val="clear" w:color="auto" w:fill="FFFFFF"/>
          <w:lang w:val="sr-Cyrl-RS" w:eastAsia="zh-CN" w:bidi="ar"/>
        </w:rPr>
        <w:t xml:space="preserve"> </w:t>
      </w:r>
      <w:r>
        <w:rPr>
          <w:rFonts w:ascii="Comic Sans MS" w:hAnsi="Comic Sans MS" w:eastAsia="Comic Sans MS" w:cs="Comic Sans MS"/>
          <w:color w:val="C55A11" w:themeColor="accent2" w:themeShade="BF"/>
          <w:sz w:val="36"/>
          <w:szCs w:val="36"/>
          <w:shd w:val="clear" w:color="auto" w:fill="FFFFFF"/>
          <w:lang w:val="sr-Cyrl-RS" w:eastAsia="zh-CN" w:bidi="ar"/>
        </w:rPr>
        <w:t xml:space="preserve">наведних занимања, потребно је да ученик то занимање </w:t>
      </w:r>
      <w:r>
        <w:rPr>
          <w:rFonts w:ascii="Comic Sans MS" w:hAnsi="Comic Sans MS" w:eastAsia="Comic Sans MS" w:cs="Comic Sans MS"/>
          <w:b/>
          <w:color w:val="C55A11" w:themeColor="accent2" w:themeShade="BF"/>
          <w:sz w:val="36"/>
          <w:szCs w:val="36"/>
          <w:shd w:val="clear" w:color="auto" w:fill="FFFFFF"/>
          <w:lang w:val="sr-Cyrl-RS" w:eastAsia="zh-CN" w:bidi="ar"/>
        </w:rPr>
        <w:t>наведе као прво на листи жеља.</w:t>
      </w:r>
    </w:p>
    <w:p>
      <w:pPr>
        <w:shd w:val="clear" w:color="auto" w:fill="FFFFFF"/>
        <w:ind w:firstLine="709"/>
        <w:rPr>
          <w:rFonts w:eastAsia="Times New Roman" w:cs="Times New Roman"/>
          <w:sz w:val="32"/>
          <w:szCs w:val="32"/>
          <w:lang w:val="sr-Cyrl-RS" w:eastAsia="sr-Latn-RS"/>
        </w:rPr>
      </w:pPr>
    </w:p>
    <w:p>
      <w:pPr>
        <w:shd w:val="clear" w:color="auto" w:fill="FFFFFF"/>
        <w:ind w:firstLine="709"/>
        <w:rPr>
          <w:rFonts w:eastAsia="Times New Roman" w:cs="Times New Roman"/>
          <w:szCs w:val="24"/>
          <w:lang w:eastAsia="sr-Latn-RS"/>
        </w:rPr>
      </w:pPr>
      <w:r>
        <w:rPr>
          <w:rFonts w:eastAsia="Times New Roman" w:cs="Times New Roman"/>
          <w:szCs w:val="24"/>
          <w:lang w:eastAsia="sr-Latn-RS"/>
        </w:rPr>
        <w:t>На дуално образовање се гледа са низом предрасуда – почев од тога да је то школовање за превазиђена занимања, преко тога да се тако врши уска специјализација кадрова за потребе једног конкретног предузећа. Технологија се данас развија таквом брзином, да само они који добро познају струку и прате новитете могу остати у послу. Због тога се крај формалног школовања не сме сматрати завршетком образовања. Сви морају током живота да непрекидно уче и усавршавају се. Они који то не схвате на време, бивају искључени са тржишта рада, пре или касније.</w:t>
      </w:r>
    </w:p>
    <w:p>
      <w:pPr>
        <w:shd w:val="clear" w:color="auto" w:fill="FFFFFF"/>
        <w:ind w:firstLine="709"/>
        <w:rPr>
          <w:rFonts w:eastAsia="Times New Roman" w:cs="Times New Roman"/>
          <w:szCs w:val="24"/>
          <w:lang w:eastAsia="sr-Latn-RS"/>
        </w:rPr>
      </w:pPr>
      <w:r>
        <w:rPr>
          <w:rFonts w:eastAsia="Times New Roman" w:cs="Times New Roman"/>
          <w:szCs w:val="24"/>
          <w:lang w:eastAsia="sr-Latn-RS"/>
        </w:rPr>
        <w:t>У обављању производних и занатских занимања догодиле значајне промене. Ова занимања су данас често и боље плаћена у односу на просечну зараду у Србији, а савремена производња је заснована на високом степену аутоматизације и безбедносних стандарда, што значи да су услови рада значајно другачији него што су некад били.</w:t>
      </w:r>
    </w:p>
    <w:p>
      <w:pPr>
        <w:shd w:val="clear" w:color="auto" w:fill="FFFFFF"/>
        <w:ind w:firstLine="709"/>
        <w:rPr>
          <w:rFonts w:eastAsia="Times New Roman" w:cs="Times New Roman"/>
          <w:szCs w:val="24"/>
          <w:lang w:eastAsia="sr-Latn-RS"/>
        </w:rPr>
      </w:pPr>
      <w:r>
        <w:rPr>
          <w:rFonts w:eastAsia="Times New Roman" w:cs="Times New Roman"/>
          <w:szCs w:val="24"/>
          <w:lang w:eastAsia="sr-Latn-RS"/>
        </w:rPr>
        <w:t>Такође, потребно је још од најранијих школских дана развијати склоност младих људи ка предузетништву. Ако нема искуство из праксе, млад човек се тешко одлучује и на покретање самосталног бизниса. Истраживања показују да ће само 3% до 5% младих људи покренути самостални посао, ако током школовања нису стицали неко радно искуство, али у оним срединама у којима јесу стицали то искуство, 15% до 20% младих који су завршили школовање покренуће сопствени бизнис.</w:t>
      </w:r>
    </w:p>
    <w:p>
      <w:pPr>
        <w:shd w:val="clear" w:color="auto" w:fill="FFFFFF"/>
        <w:ind w:firstLine="709"/>
        <w:rPr>
          <w:rFonts w:eastAsia="Times New Roman" w:cs="Times New Roman"/>
          <w:b/>
          <w:szCs w:val="24"/>
          <w:u w:val="single"/>
          <w:lang w:eastAsia="sr-Latn-RS"/>
        </w:rPr>
      </w:pPr>
      <w:r>
        <w:rPr>
          <w:rFonts w:eastAsia="Times New Roman" w:cs="Times New Roman"/>
          <w:b/>
          <w:szCs w:val="24"/>
          <w:u w:val="single"/>
          <w:lang w:eastAsia="sr-Latn-RS"/>
        </w:rPr>
        <w:t>Систем дуалног образовања нуди младим људима разноврсне могућности за даљи развој.</w:t>
      </w:r>
    </w:p>
    <w:p>
      <w:pPr>
        <w:shd w:val="clear" w:color="auto" w:fill="FFFFFF"/>
        <w:ind w:firstLine="709"/>
        <w:rPr>
          <w:rFonts w:eastAsia="Times New Roman" w:cs="Times New Roman"/>
          <w:szCs w:val="24"/>
          <w:lang w:eastAsia="sr-Latn-RS"/>
        </w:rPr>
      </w:pPr>
      <w:r>
        <w:rPr>
          <w:rFonts w:eastAsia="Times New Roman" w:cs="Times New Roman"/>
          <w:szCs w:val="24"/>
          <w:lang w:eastAsia="sr-Latn-RS"/>
        </w:rPr>
        <w:t>Под вођством и надзором координатора учења кроз рад у школи и инструктора у компанији, ученици допуњују теоретско знање стечено у школи и у реалном радном окружењу развијају вештине за рад у одређеном занимању или групи занимања. Тиме се олакшава њихова транзиција из школе ка тржишту рада и повећава могућност запослења.</w:t>
      </w:r>
    </w:p>
    <w:p>
      <w:pPr>
        <w:shd w:val="clear" w:color="auto" w:fill="FFFFFF"/>
        <w:ind w:firstLine="709"/>
        <w:rPr>
          <w:rFonts w:eastAsia="Times New Roman" w:cs="Times New Roman"/>
          <w:szCs w:val="24"/>
          <w:lang w:eastAsia="sr-Latn-RS"/>
        </w:rPr>
      </w:pPr>
      <w:r>
        <w:rPr>
          <w:rFonts w:eastAsia="Times New Roman" w:cs="Times New Roman"/>
          <w:szCs w:val="24"/>
          <w:lang w:eastAsia="sr-Latn-RS"/>
        </w:rPr>
        <w:t>У сарадњи са старијим колегама, ученици не само да стичу додатна, применљива знања, већ развијају социјалне вештине. Они ће моћи врло рано да науче шта су одговорност и тимски рад, како се сосптвеним незалагањем или лошијим радом могу угрозити и други чланови колектива, а како се предузимљивошћу, идејама и иницијативама могу постићи бољи и сопствени и колективни пословни резултати.</w:t>
      </w:r>
    </w:p>
    <w:p>
      <w:pPr>
        <w:shd w:val="clear" w:color="auto" w:fill="FFFFFF"/>
        <w:ind w:firstLine="709"/>
        <w:rPr>
          <w:rFonts w:eastAsia="Times New Roman" w:cs="Times New Roman"/>
          <w:szCs w:val="24"/>
          <w:lang w:eastAsia="sr-Latn-RS"/>
        </w:rPr>
      </w:pPr>
      <w:r>
        <w:rPr>
          <w:rFonts w:eastAsia="Times New Roman" w:cs="Times New Roman"/>
          <w:szCs w:val="24"/>
          <w:lang w:eastAsia="sr-Latn-RS"/>
        </w:rPr>
        <w:t>У реалном радном окружењу ученици могу проверити да ли оно што уче у школи одговара њиховој личности, интересовањима и компетенцијама. Такође, ученици уче од старијих колега, који им у том раном животном добу могу бити и узори који имају утицај на будуће одлуке и професионална опредељења ученика. Учење кроз рад у комбинацији са новчаном накнадом утиче да ученик развије свест о томе колико је важно постати самосталан и не зависити од својих родитеља. У реалном радном окружењу ученици препознају значај шансе која им је дата – да раде у модерном и добро опремљеном пословном окружењу и стекну искуства која ће им бити од значаја током целог радног века.</w:t>
      </w:r>
    </w:p>
    <w:p>
      <w:pPr>
        <w:shd w:val="clear" w:color="auto" w:fill="FFFFFF"/>
        <w:ind w:firstLine="709"/>
        <w:rPr>
          <w:rFonts w:eastAsia="Times New Roman" w:cs="Times New Roman"/>
          <w:szCs w:val="24"/>
          <w:lang w:eastAsia="sr-Latn-RS"/>
        </w:rPr>
      </w:pPr>
      <w:r>
        <w:rPr>
          <w:rFonts w:eastAsia="Times New Roman" w:cs="Times New Roman"/>
          <w:szCs w:val="24"/>
          <w:lang w:eastAsia="sr-Latn-RS"/>
        </w:rPr>
        <w:t>Дуално образовање, односно учење кроз рад, је намењено младима који воле изазов и иновације. Увођење дуалног образовања по правилу креће од производних , тј. техничких профила, јер ту највише до изражаја долази потреба повезаности са конкретним захтевима радних места. Највећи број тих профила тражи од ученика да имају одређене предиспозиције да би могли лако савладати градиво , како и у школи тако и у компанији. Негде је потребна прецизна рука, негде оштро око, негде сигурност и смиреност у раду. Млади који имају склоности ка рактичног , занатског талента, могу кроз овај модел образовања да га развију и да стекну квалификацију. Најбољи пример за илустрацију је профил модни кројач. Сви смо ми у животу барем једном имали потребу за услугама кројача и добро знамо да направимо разлику између доброг и лошег кројача. А некоме ко заврши овај профил , вештине стечене практичним вежбањем и та применљива функционална знања можда буду подстицај за даље учење и напредовање, па тај неко постане модни креатор односно сутра направи своју робну марку у модној индустрији.</w:t>
      </w:r>
    </w:p>
    <w:p>
      <w:pPr>
        <w:shd w:val="clear" w:color="auto" w:fill="FFFFFF"/>
        <w:ind w:firstLine="709"/>
        <w:rPr>
          <w:rFonts w:eastAsia="Times New Roman" w:cs="Times New Roman"/>
          <w:szCs w:val="24"/>
          <w:lang w:eastAsia="sr-Latn-RS"/>
        </w:rPr>
      </w:pPr>
      <w:r>
        <w:rPr>
          <w:rFonts w:eastAsia="Times New Roman" w:cs="Times New Roman"/>
          <w:b/>
          <w:szCs w:val="24"/>
          <w:lang w:eastAsia="sr-Latn-RS"/>
        </w:rPr>
        <w:t>Уврежена предрасуда је да се дуално образовање односи искључиво на занатска занимања и то она која захтевају обављање једноставних мануелних захвата и операција који се понављају. У складу са тим, најмање би се могло очекивати да дигитализација утиче на дуално образовање.</w:t>
      </w:r>
      <w:r>
        <w:rPr>
          <w:rFonts w:eastAsia="Times New Roman" w:cs="Times New Roman"/>
          <w:szCs w:val="24"/>
          <w:lang w:eastAsia="sr-Latn-RS"/>
        </w:rPr>
        <w:t xml:space="preserve"> </w:t>
      </w:r>
      <w:r>
        <w:rPr>
          <w:rFonts w:eastAsia="Times New Roman" w:cs="Times New Roman"/>
          <w:b/>
          <w:szCs w:val="24"/>
          <w:u w:val="single"/>
          <w:lang w:eastAsia="sr-Latn-RS"/>
        </w:rPr>
        <w:t>Међутим, истина је другачија</w:t>
      </w:r>
      <w:r>
        <w:rPr>
          <w:rFonts w:eastAsia="Times New Roman" w:cs="Times New Roman"/>
          <w:szCs w:val="24"/>
          <w:lang w:eastAsia="sr-Latn-RS"/>
        </w:rPr>
        <w:t xml:space="preserve">. </w:t>
      </w:r>
    </w:p>
    <w:p>
      <w:pPr>
        <w:shd w:val="clear" w:color="auto" w:fill="FFFFFF"/>
        <w:ind w:firstLine="709"/>
        <w:rPr>
          <w:rFonts w:hint="default" w:eastAsia="Times New Roman" w:cs="Times New Roman"/>
          <w:b/>
          <w:i/>
          <w:szCs w:val="24"/>
          <w:lang w:val="sr-Cyrl-RS" w:eastAsia="sr-Latn-RS"/>
        </w:rPr>
      </w:pPr>
      <w:r>
        <w:rPr>
          <w:rFonts w:eastAsia="Times New Roman" w:cs="Times New Roman"/>
          <w:b/>
          <w:i/>
          <w:szCs w:val="24"/>
          <w:lang w:eastAsia="sr-Latn-RS"/>
        </w:rPr>
        <w:t>Дуално образовање је образовање у реалном радном окружењу, па су ученици који се на овај начин школују у могућности да се са најсавременијим трендовима производње и савременим пословним процесима упознају пре него њихови другари који се школују на класичан начин</w:t>
      </w:r>
      <w:r>
        <w:rPr>
          <w:rFonts w:hint="default" w:eastAsia="Times New Roman" w:cs="Times New Roman"/>
          <w:b/>
          <w:i/>
          <w:szCs w:val="24"/>
          <w:lang w:val="sr-Cyrl-RS" w:eastAsia="sr-Latn-RS"/>
        </w:rPr>
        <w:t>.</w:t>
      </w:r>
      <w:bookmarkStart w:id="0" w:name="_GoBack"/>
      <w:bookmarkEnd w:id="0"/>
    </w:p>
    <w:p>
      <w:pPr>
        <w:shd w:val="clear" w:color="auto" w:fill="FFFFFF"/>
        <w:ind w:firstLine="709"/>
        <w:rPr>
          <w:rFonts w:eastAsia="Times New Roman" w:cs="Times New Roman"/>
          <w:szCs w:val="24"/>
          <w:lang w:eastAsia="sr-Latn-RS"/>
        </w:rPr>
      </w:pPr>
      <w:r>
        <w:rPr>
          <w:rFonts w:eastAsia="Times New Roman" w:cs="Times New Roman"/>
          <w:szCs w:val="24"/>
          <w:lang w:eastAsia="sr-Latn-RS"/>
        </w:rPr>
        <w:t>У складу са тим, у могућности су да правремено стичу искуства из дигитализације пословних процеса. У исто време, и сами су у прилици да утичу и допринесу осавремењивању производних процеса, јер је познато да млади знатно брже овладавају свим изазовима ИТ технологија.</w:t>
      </w:r>
    </w:p>
    <w:p>
      <w:pPr>
        <w:shd w:val="clear" w:color="auto" w:fill="FFFFFF"/>
        <w:ind w:firstLine="709"/>
        <w:rPr>
          <w:rFonts w:eastAsia="Times New Roman" w:cs="Times New Roman"/>
          <w:szCs w:val="24"/>
          <w:lang w:eastAsia="sr-Latn-RS"/>
        </w:rPr>
      </w:pPr>
      <w:r>
        <w:rPr>
          <w:rFonts w:eastAsia="Times New Roman" w:cs="Times New Roman"/>
          <w:szCs w:val="24"/>
          <w:lang w:eastAsia="sr-Latn-RS"/>
        </w:rPr>
        <w:t>Kомбинација стицања теоретског знања из ИТ и усавршавање дигиталних вештина у реалном радном окружењу , поред тога , доприноси повећању запошљивости и смањује осетљивост на губитак посла по основу технолошких вишкова.</w:t>
      </w:r>
    </w:p>
    <w:sectPr>
      <w:pgSz w:w="16840" w:h="11907" w:orient="landscape"/>
      <w:pgMar w:top="1134" w:right="1134" w:bottom="1134" w:left="1134" w:header="567" w:footer="567" w:gutter="0"/>
      <w:cols w:space="708" w:num="1"/>
      <w:docGrid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Arial">
    <w:panose1 w:val="020B0604020202020204"/>
    <w:charset w:val="EE"/>
    <w:family w:val="swiss"/>
    <w:pitch w:val="default"/>
    <w:sig w:usb0="E0002EFF" w:usb1="C000785B" w:usb2="00000009" w:usb3="00000000" w:csb0="400001FF" w:csb1="FFFF0000"/>
  </w:font>
  <w:font w:name="Comic Sans MS">
    <w:panose1 w:val="030F0702030302020204"/>
    <w:charset w:val="EE"/>
    <w:family w:val="script"/>
    <w:pitch w:val="default"/>
    <w:sig w:usb0="00000287" w:usb1="00000013" w:usb2="00000000" w:usb3="00000000" w:csb0="2000009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drawingGridHorizontalSpacing w:val="241"/>
  <w:drawingGridVerticalSpacing w:val="43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AB"/>
    <w:rsid w:val="00061697"/>
    <w:rsid w:val="002D560B"/>
    <w:rsid w:val="00393C27"/>
    <w:rsid w:val="004579EB"/>
    <w:rsid w:val="00603AEC"/>
    <w:rsid w:val="006249AB"/>
    <w:rsid w:val="0081243A"/>
    <w:rsid w:val="00981571"/>
    <w:rsid w:val="009B7A1B"/>
    <w:rsid w:val="009F7BB7"/>
    <w:rsid w:val="00BF51E0"/>
    <w:rsid w:val="00C119BF"/>
    <w:rsid w:val="00C51D96"/>
    <w:rsid w:val="00C82446"/>
    <w:rsid w:val="00D754BD"/>
    <w:rsid w:val="00E107FD"/>
    <w:rsid w:val="27A553A0"/>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cs="Arial" w:eastAsiaTheme="minorHAnsi"/>
      <w:sz w:val="24"/>
      <w:szCs w:val="22"/>
      <w:lang w:val="sr-Latn-R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815</Words>
  <Characters>4650</Characters>
  <Lines>38</Lines>
  <Paragraphs>10</Paragraphs>
  <TotalTime>31</TotalTime>
  <ScaleCrop>false</ScaleCrop>
  <LinksUpToDate>false</LinksUpToDate>
  <CharactersWithSpaces>5455</CharactersWithSpaces>
  <Application>WPS Office_11.2.0.10101_F1E327BC-269C-435d-A152-05C5408002CA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2021-05-24T06:15:00Z</dcterms:created>
  <dc:creator>Microsoft account</dc:creator>
  <cp:lastModifiedBy>Radmila Stepić Đajić</cp:lastModifiedBy>
  <dcterms:modified xsi:type="dcterms:W3CDTF">2021-05-25T06:22:28Z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