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13166"/>
      </w:tblGrid>
      <w:tr w:rsidR="008826E9" w:rsidRPr="008826E9" w:rsidTr="008826E9">
        <w:trPr>
          <w:trHeight w:val="5406"/>
        </w:trPr>
        <w:tc>
          <w:tcPr>
            <w:tcW w:w="8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sr-Cyrl-RS" w:eastAsia="sr-Latn-RS"/>
              </w:rPr>
              <w:t>Документа потребна за упис</w:t>
            </w:r>
          </w:p>
        </w:tc>
        <w:tc>
          <w:tcPr>
            <w:tcW w:w="413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numPr>
                <w:ilvl w:val="0"/>
                <w:numId w:val="1"/>
              </w:numPr>
              <w:tabs>
                <w:tab w:val="left" w:pos="262"/>
              </w:tabs>
              <w:spacing w:line="276" w:lineRule="auto"/>
              <w:ind w:left="1267"/>
              <w:contextualSpacing/>
              <w:jc w:val="both"/>
              <w:textAlignment w:val="top"/>
              <w:rPr>
                <w:rFonts w:ascii="Arial" w:eastAsia="Times New Roman" w:hAnsi="Arial" w:cs="Arial"/>
                <w:sz w:val="28"/>
                <w:szCs w:val="36"/>
                <w:lang w:eastAsia="sr-Latn-RS"/>
              </w:rPr>
            </w:pP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Извод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из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матичне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књиге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рођених</w:t>
            </w:r>
            <w:proofErr w:type="spellEnd"/>
          </w:p>
          <w:p w:rsidR="008826E9" w:rsidRPr="008826E9" w:rsidRDefault="008826E9" w:rsidP="008826E9">
            <w:pPr>
              <w:numPr>
                <w:ilvl w:val="0"/>
                <w:numId w:val="1"/>
              </w:numPr>
              <w:tabs>
                <w:tab w:val="left" w:pos="262"/>
              </w:tabs>
              <w:spacing w:line="276" w:lineRule="auto"/>
              <w:ind w:left="1267"/>
              <w:contextualSpacing/>
              <w:jc w:val="both"/>
              <w:textAlignment w:val="top"/>
              <w:rPr>
                <w:rFonts w:ascii="Arial" w:eastAsia="Times New Roman" w:hAnsi="Arial" w:cs="Arial"/>
                <w:sz w:val="28"/>
                <w:szCs w:val="36"/>
                <w:lang w:eastAsia="sr-Latn-RS"/>
              </w:rPr>
            </w:pP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Уверење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о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похађању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предшколског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програма</w:t>
            </w:r>
            <w:proofErr w:type="spellEnd"/>
          </w:p>
          <w:p w:rsidR="008826E9" w:rsidRPr="008826E9" w:rsidRDefault="008826E9" w:rsidP="008826E9">
            <w:pPr>
              <w:numPr>
                <w:ilvl w:val="0"/>
                <w:numId w:val="1"/>
              </w:numPr>
              <w:tabs>
                <w:tab w:val="left" w:pos="262"/>
              </w:tabs>
              <w:spacing w:line="276" w:lineRule="auto"/>
              <w:ind w:left="1267"/>
              <w:contextualSpacing/>
              <w:jc w:val="both"/>
              <w:textAlignment w:val="top"/>
              <w:rPr>
                <w:rFonts w:ascii="Arial" w:eastAsia="Times New Roman" w:hAnsi="Arial" w:cs="Arial"/>
                <w:sz w:val="28"/>
                <w:szCs w:val="36"/>
                <w:lang w:eastAsia="sr-Latn-RS"/>
              </w:rPr>
            </w:pP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Доказ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о 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fldChar w:fldCharType="begin"/>
            </w: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instrText xml:space="preserve"> HYPERLINK "http://osnovneskole.edukacija.rs/upis-u-osnovne-skole/sistematski-lekarski-pregled-dece" </w:instrText>
            </w: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fldChar w:fldCharType="separate"/>
            </w: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u w:val="single"/>
                <w:lang w:val="en-US" w:eastAsia="sr-Latn-RS"/>
              </w:rPr>
              <w:t>лекарском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fldChar w:fldCharType="end"/>
            </w:r>
            <w:hyperlink r:id="rId6" w:history="1">
              <w:r w:rsidRPr="008826E9">
                <w:rPr>
                  <w:rFonts w:ascii="Comic Sans MS" w:eastAsia="Times New Roman" w:hAnsi="Comic Sans MS" w:cs="Arial"/>
                  <w:b/>
                  <w:bCs/>
                  <w:color w:val="FFFFFF" w:themeColor="light1"/>
                  <w:kern w:val="24"/>
                  <w:sz w:val="28"/>
                  <w:szCs w:val="28"/>
                  <w:u w:val="single"/>
                  <w:lang w:val="en-US" w:eastAsia="sr-Latn-RS"/>
                </w:rPr>
                <w:t xml:space="preserve"> </w:t>
              </w:r>
            </w:hyperlink>
            <w:hyperlink r:id="rId7" w:history="1">
              <w:proofErr w:type="spellStart"/>
              <w:r w:rsidRPr="008826E9">
                <w:rPr>
                  <w:rFonts w:ascii="Comic Sans MS" w:eastAsia="Times New Roman" w:hAnsi="Comic Sans MS" w:cs="Arial"/>
                  <w:b/>
                  <w:bCs/>
                  <w:color w:val="FFFFFF" w:themeColor="light1"/>
                  <w:kern w:val="24"/>
                  <w:sz w:val="28"/>
                  <w:szCs w:val="28"/>
                  <w:u w:val="single"/>
                  <w:lang w:val="en-US" w:eastAsia="sr-Latn-RS"/>
                </w:rPr>
                <w:t>прегледу</w:t>
              </w:r>
              <w:proofErr w:type="spellEnd"/>
            </w:hyperlink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 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детета</w:t>
            </w:r>
            <w:proofErr w:type="spellEnd"/>
          </w:p>
          <w:p w:rsidR="008826E9" w:rsidRPr="008826E9" w:rsidRDefault="008826E9" w:rsidP="008826E9">
            <w:pPr>
              <w:numPr>
                <w:ilvl w:val="0"/>
                <w:numId w:val="1"/>
              </w:numPr>
              <w:tabs>
                <w:tab w:val="left" w:pos="262"/>
              </w:tabs>
              <w:spacing w:line="276" w:lineRule="auto"/>
              <w:ind w:left="1267"/>
              <w:contextualSpacing/>
              <w:jc w:val="both"/>
              <w:textAlignment w:val="top"/>
              <w:rPr>
                <w:rFonts w:ascii="Arial" w:eastAsia="Times New Roman" w:hAnsi="Arial" w:cs="Arial"/>
                <w:sz w:val="28"/>
                <w:szCs w:val="36"/>
                <w:lang w:eastAsia="sr-Latn-RS"/>
              </w:rPr>
            </w:pP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Доказ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о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пребивалишту</w:t>
            </w:r>
            <w:proofErr w:type="spellEnd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 xml:space="preserve"> </w:t>
            </w:r>
            <w:proofErr w:type="spellStart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en-US" w:eastAsia="sr-Latn-RS"/>
              </w:rPr>
              <w:t>родитеља</w:t>
            </w:r>
            <w:proofErr w:type="spellEnd"/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sr-Latn-RS"/>
              </w:rPr>
              <w:t> </w:t>
            </w:r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sr-Latn-RS"/>
              </w:rPr>
              <w:t xml:space="preserve">Извод из матичне књиге рођених (крштеница) – важи неограничено. </w:t>
            </w:r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sr-Cyrl-RS" w:eastAsia="sr-Latn-RS"/>
              </w:rPr>
              <w:t xml:space="preserve">Школа може, уз писмену сагласност родитеља,  да прибави извод из МКР. </w:t>
            </w:r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sr-Cyrl-RS" w:eastAsia="sr-Latn-RS"/>
              </w:rPr>
              <w:t>Родитељи могу са</w:t>
            </w:r>
            <w:bookmarkStart w:id="0" w:name="_GoBack"/>
            <w:bookmarkEnd w:id="0"/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val="sr-Cyrl-RS" w:eastAsia="sr-Latn-RS"/>
              </w:rPr>
              <w:t xml:space="preserve">ми доставити извод из МКР са осталом документациојом </w:t>
            </w:r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sr-Latn-RS"/>
              </w:rPr>
              <w:t>За упис деце у школу не плаћа се узимање извода.</w:t>
            </w:r>
          </w:p>
          <w:p w:rsidR="008826E9" w:rsidRPr="008826E9" w:rsidRDefault="008826E9" w:rsidP="008826E9">
            <w:pPr>
              <w:textAlignment w:val="top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sr-Latn-RS"/>
              </w:rPr>
              <w:t> </w:t>
            </w:r>
          </w:p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 w:val="28"/>
                <w:szCs w:val="28"/>
                <w:lang w:eastAsia="sr-Latn-RS"/>
              </w:rPr>
              <w:t>Уверење о похађању предшколског програма – издаје предшколска установа коју је дете похађало</w:t>
            </w:r>
          </w:p>
        </w:tc>
      </w:tr>
      <w:tr w:rsidR="008826E9" w:rsidRPr="008826E9" w:rsidTr="008826E9">
        <w:trPr>
          <w:trHeight w:val="350"/>
        </w:trPr>
        <w:tc>
          <w:tcPr>
            <w:tcW w:w="86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Cs w:val="24"/>
                <w:lang w:val="sr-Cyrl-RS" w:eastAsia="sr-Latn-RS"/>
              </w:rPr>
              <w:t>Уџбеници</w:t>
            </w:r>
          </w:p>
        </w:tc>
        <w:tc>
          <w:tcPr>
            <w:tcW w:w="413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Код секретара се добија образац</w:t>
            </w:r>
          </w:p>
        </w:tc>
      </w:tr>
      <w:tr w:rsidR="008826E9" w:rsidRPr="008826E9" w:rsidTr="008826E9">
        <w:trPr>
          <w:trHeight w:val="2102"/>
        </w:trPr>
        <w:tc>
          <w:tcPr>
            <w:tcW w:w="8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Cs w:val="24"/>
                <w:lang w:val="sr-Cyrl-RS" w:eastAsia="sr-Latn-RS"/>
              </w:rPr>
              <w:t>Ужина</w:t>
            </w:r>
          </w:p>
        </w:tc>
        <w:tc>
          <w:tcPr>
            <w:tcW w:w="4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Цена за ову школску годину је 1,000 динара</w:t>
            </w:r>
          </w:p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Ужина се спрема у школској кухињи (печење, пржење...).</w:t>
            </w:r>
          </w:p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 xml:space="preserve">Исхрана је усаглашена са најновијим 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en-US" w:eastAsia="sr-Latn-RS"/>
              </w:rPr>
              <w:t xml:space="preserve">HASAP 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 xml:space="preserve">стандардом и у складу је са  Правилником о ближим условима за организовање, остваривање и праћење исхране ученика у основној школи, који је објављен у 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eastAsia="sr-Latn-RS"/>
              </w:rPr>
              <w:t xml:space="preserve">"Сл. гласник РС", бр. 68/2018) </w:t>
            </w:r>
          </w:p>
        </w:tc>
      </w:tr>
      <w:tr w:rsidR="008826E9" w:rsidRPr="008826E9" w:rsidTr="008826E9">
        <w:trPr>
          <w:trHeight w:val="701"/>
        </w:trPr>
        <w:tc>
          <w:tcPr>
            <w:tcW w:w="8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Cs w:val="24"/>
                <w:lang w:val="sr-Cyrl-RS" w:eastAsia="sr-Latn-RS"/>
              </w:rPr>
              <w:t>Боравак</w:t>
            </w:r>
          </w:p>
        </w:tc>
        <w:tc>
          <w:tcPr>
            <w:tcW w:w="4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Цена за ову школску годину је 4,500 динара</w:t>
            </w:r>
          </w:p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CS" w:eastAsia="sr-Latn-RS"/>
              </w:rPr>
              <w:t xml:space="preserve">боравак деце је 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u w:val="single"/>
                <w:lang w:eastAsia="sr-Latn-RS"/>
              </w:rPr>
              <w:t>6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u w:val="single"/>
                <w:lang w:val="sr-Cyrl-RS" w:eastAsia="sr-Latn-RS"/>
              </w:rPr>
              <w:t>:30 до 17:00</w:t>
            </w: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.</w:t>
            </w:r>
          </w:p>
        </w:tc>
      </w:tr>
      <w:tr w:rsidR="008826E9" w:rsidRPr="008826E9" w:rsidTr="008826E9">
        <w:trPr>
          <w:trHeight w:val="1051"/>
        </w:trPr>
        <w:tc>
          <w:tcPr>
            <w:tcW w:w="8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b/>
                <w:bCs/>
                <w:color w:val="FFFFFF" w:themeColor="light1"/>
                <w:kern w:val="24"/>
                <w:szCs w:val="24"/>
                <w:lang w:val="sr-Cyrl-RS" w:eastAsia="sr-Latn-RS"/>
              </w:rPr>
              <w:t>Заказивање разговора код педагога</w:t>
            </w:r>
          </w:p>
        </w:tc>
        <w:tc>
          <w:tcPr>
            <w:tcW w:w="4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 </w:t>
            </w:r>
          </w:p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omic Sans MS" w:eastAsia="Times New Roman" w:hAnsi="Comic Sans MS" w:cs="Arial"/>
                <w:color w:val="000000" w:themeColor="dark1"/>
                <w:kern w:val="24"/>
                <w:szCs w:val="24"/>
                <w:lang w:val="sr-Cyrl-RS" w:eastAsia="sr-Latn-RS"/>
              </w:rPr>
              <w:t>Прилиокм уписа код секретара се заказује разговор (може пре и после подне да се закаже разговор; најкасније у 16,00</w:t>
            </w:r>
          </w:p>
        </w:tc>
      </w:tr>
      <w:tr w:rsidR="008826E9" w:rsidRPr="008826E9" w:rsidTr="008826E9">
        <w:trPr>
          <w:trHeight w:val="350"/>
        </w:trPr>
        <w:tc>
          <w:tcPr>
            <w:tcW w:w="8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F6F7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entury Schoolbook" w:eastAsia="Times New Roman" w:hAnsi="Century Schoolbook" w:cs="Arial"/>
                <w:b/>
                <w:bCs/>
                <w:color w:val="FFFFFF" w:themeColor="light1"/>
                <w:kern w:val="24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41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5D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6E9" w:rsidRPr="008826E9" w:rsidRDefault="008826E9" w:rsidP="008826E9">
            <w:pPr>
              <w:jc w:val="both"/>
              <w:rPr>
                <w:rFonts w:ascii="Arial" w:eastAsia="Times New Roman" w:hAnsi="Arial" w:cs="Arial"/>
                <w:sz w:val="36"/>
                <w:szCs w:val="36"/>
                <w:lang w:eastAsia="sr-Latn-RS"/>
              </w:rPr>
            </w:pPr>
            <w:r w:rsidRPr="008826E9">
              <w:rPr>
                <w:rFonts w:ascii="Century Schoolbook" w:eastAsia="Times New Roman" w:hAnsi="Century Schoolbook" w:cs="Arial"/>
                <w:color w:val="000000" w:themeColor="dark1"/>
                <w:kern w:val="24"/>
                <w:sz w:val="20"/>
                <w:szCs w:val="20"/>
                <w:lang w:val="sr-Cyrl-RS" w:eastAsia="sr-Latn-RS"/>
              </w:rPr>
              <w:t> </w:t>
            </w:r>
          </w:p>
        </w:tc>
      </w:tr>
    </w:tbl>
    <w:p w:rsidR="003D4D6A" w:rsidRDefault="003D4D6A"/>
    <w:sectPr w:rsidR="003D4D6A" w:rsidSect="008826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D8A"/>
    <w:multiLevelType w:val="hybridMultilevel"/>
    <w:tmpl w:val="3A08D3FE"/>
    <w:lvl w:ilvl="0" w:tplc="454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07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0C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C1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C5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6F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49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8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4CC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E9"/>
    <w:rsid w:val="00114C59"/>
    <w:rsid w:val="003D4D6A"/>
    <w:rsid w:val="008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6E9"/>
    <w:pPr>
      <w:spacing w:before="100" w:beforeAutospacing="1" w:after="100" w:afterAutospacing="1"/>
    </w:pPr>
    <w:rPr>
      <w:rFonts w:eastAsia="Times New Roman" w:cs="Times New Roman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8826E9"/>
    <w:pPr>
      <w:ind w:left="720"/>
      <w:contextualSpacing/>
    </w:pPr>
    <w:rPr>
      <w:rFonts w:eastAsia="Times New Roman" w:cs="Times New Roman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882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6E9"/>
    <w:pPr>
      <w:spacing w:before="100" w:beforeAutospacing="1" w:after="100" w:afterAutospacing="1"/>
    </w:pPr>
    <w:rPr>
      <w:rFonts w:eastAsia="Times New Roman" w:cs="Times New Roman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8826E9"/>
    <w:pPr>
      <w:ind w:left="720"/>
      <w:contextualSpacing/>
    </w:pPr>
    <w:rPr>
      <w:rFonts w:eastAsia="Times New Roman" w:cs="Times New Roman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882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1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novneskole.edukacija.rs/upis-u-osnovne-skole/sistematski-lekarski-pregled-d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novneskole.edukacija.rs/upis-u-osnovne-skole/sistematski-lekarski-pregled-de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Krstevski</dc:creator>
  <cp:lastModifiedBy>Radmila Krstevski</cp:lastModifiedBy>
  <cp:revision>1</cp:revision>
  <dcterms:created xsi:type="dcterms:W3CDTF">2019-03-23T11:56:00Z</dcterms:created>
  <dcterms:modified xsi:type="dcterms:W3CDTF">2019-03-23T11:57:00Z</dcterms:modified>
</cp:coreProperties>
</file>